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BC" w:rsidRPr="00AF55BC" w:rsidRDefault="00206546" w:rsidP="00AF5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BC">
        <w:rPr>
          <w:rFonts w:ascii="Times New Roman" w:hAnsi="Times New Roman" w:cs="Times New Roman"/>
          <w:b/>
          <w:sz w:val="24"/>
          <w:szCs w:val="24"/>
        </w:rPr>
        <w:t xml:space="preserve">Emerging new models for large-scale private land conservation in Australia: case studies of </w:t>
      </w:r>
      <w:proofErr w:type="spellStart"/>
      <w:r w:rsidRPr="00AF55BC">
        <w:rPr>
          <w:rFonts w:ascii="Times New Roman" w:hAnsi="Times New Roman" w:cs="Times New Roman"/>
          <w:b/>
          <w:sz w:val="24"/>
          <w:szCs w:val="24"/>
        </w:rPr>
        <w:t>Gayini</w:t>
      </w:r>
      <w:proofErr w:type="spellEnd"/>
      <w:r w:rsidRPr="00AF5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55BC">
        <w:rPr>
          <w:rFonts w:ascii="Times New Roman" w:hAnsi="Times New Roman" w:cs="Times New Roman"/>
          <w:b/>
          <w:sz w:val="24"/>
          <w:szCs w:val="24"/>
        </w:rPr>
        <w:t>Nimmie-Caira</w:t>
      </w:r>
      <w:proofErr w:type="spellEnd"/>
      <w:r w:rsidRPr="00AF55BC">
        <w:rPr>
          <w:rFonts w:ascii="Times New Roman" w:hAnsi="Times New Roman" w:cs="Times New Roman"/>
          <w:b/>
          <w:sz w:val="24"/>
          <w:szCs w:val="24"/>
        </w:rPr>
        <w:t xml:space="preserve"> and the Great </w:t>
      </w:r>
      <w:proofErr w:type="spellStart"/>
      <w:r w:rsidRPr="00AF55BC">
        <w:rPr>
          <w:rFonts w:ascii="Times New Roman" w:hAnsi="Times New Roman" w:cs="Times New Roman"/>
          <w:b/>
          <w:sz w:val="24"/>
          <w:szCs w:val="24"/>
        </w:rPr>
        <w:t>Cumbung</w:t>
      </w:r>
      <w:proofErr w:type="spellEnd"/>
      <w:r w:rsidRPr="00AF55BC">
        <w:rPr>
          <w:rFonts w:ascii="Times New Roman" w:hAnsi="Times New Roman" w:cs="Times New Roman"/>
          <w:b/>
          <w:sz w:val="24"/>
          <w:szCs w:val="24"/>
        </w:rPr>
        <w:t xml:space="preserve"> Swamp</w:t>
      </w:r>
    </w:p>
    <w:p w:rsidR="00AF55BC" w:rsidRDefault="00941220" w:rsidP="00AF55BC">
      <w:pPr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</w:pPr>
      <w:r w:rsidRPr="00AF55BC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James Fitzsimons</w:t>
      </w:r>
      <w:r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  <w:t>1*</w:t>
      </w:r>
    </w:p>
    <w:p w:rsidR="00AF55BC" w:rsidRDefault="00AF55BC" w:rsidP="00AF55BC">
      <w:pPr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co-authors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:</w:t>
      </w:r>
      <w:r w:rsidR="00941220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Rene Woods</w:t>
      </w:r>
      <w:r w:rsidR="00941220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  <w:t>1</w:t>
      </w:r>
      <w:r w:rsidR="00941220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, Rich Gilmore</w:t>
      </w:r>
      <w:r w:rsidR="00941220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  <w:t>1</w:t>
      </w:r>
      <w:r w:rsidR="00941220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, Deborah Nias</w:t>
      </w:r>
      <w:r w:rsidR="00941220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  <w:t>2</w:t>
      </w:r>
      <w:r w:rsidR="00941220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, Natalie Holland</w:t>
      </w:r>
      <w:r w:rsidR="00941220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  <w:t>1</w:t>
      </w:r>
      <w:r w:rsidR="00941220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</w:t>
      </w:r>
    </w:p>
    <w:p w:rsidR="00941220" w:rsidRPr="00AF55BC" w:rsidRDefault="00941220" w:rsidP="00AF55BC">
      <w:pPr>
        <w:jc w:val="center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Kathryn Ridge</w:t>
      </w:r>
      <w:r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  <w:t>2</w:t>
      </w:r>
      <w:r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, Jane Hutchinson</w:t>
      </w:r>
      <w:r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  <w:t>1</w:t>
      </w:r>
      <w:r w:rsidR="00506758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</w:t>
      </w:r>
      <w:r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Richard Kings</w:t>
      </w:r>
      <w:r w:rsidR="000A10C4"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ford</w:t>
      </w:r>
      <w:r w:rsidRP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  <w:t>3</w:t>
      </w:r>
      <w:r w:rsidR="00AF55BC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vertAlign w:val="superscript"/>
        </w:rPr>
        <w:t>)</w:t>
      </w:r>
    </w:p>
    <w:p w:rsidR="00941220" w:rsidRPr="00AF55BC" w:rsidRDefault="00941220" w:rsidP="00941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</w:pPr>
      <w:r w:rsidRPr="00AF55BC"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  <w:t xml:space="preserve">The Nature Conservancy, Suite 2-01, 60 Leicester Street, Carlton VIC 3053, Australia. </w:t>
      </w:r>
    </w:p>
    <w:p w:rsidR="00941220" w:rsidRPr="00AF55BC" w:rsidRDefault="00941220" w:rsidP="00941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</w:pPr>
      <w:r w:rsidRPr="00AF55BC"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  <w:t xml:space="preserve">Murray Darling Wetlands Working Group, </w:t>
      </w:r>
      <w:r w:rsidRPr="00AF55B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512 Dean Street, Albury NSW 2640, Australia.</w:t>
      </w:r>
    </w:p>
    <w:p w:rsidR="00941220" w:rsidRPr="00AF55BC" w:rsidRDefault="00941220" w:rsidP="009412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</w:pPr>
      <w:r w:rsidRPr="00AF55BC"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  <w:t>Centre for Ecosystem Science, University of New South Wales, Sydney NSW 2052, Australia.</w:t>
      </w:r>
    </w:p>
    <w:p w:rsidR="00941220" w:rsidRPr="00AF55BC" w:rsidRDefault="00941220" w:rsidP="00941220">
      <w:pPr>
        <w:ind w:left="360"/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</w:pPr>
      <w:r w:rsidRPr="00AF55BC"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  <w:t>*Corresponding/presenting author</w:t>
      </w:r>
      <w:r w:rsidR="00AF55BC" w:rsidRPr="00AF55BC"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  <w:t>;</w:t>
      </w:r>
      <w:r w:rsidRPr="00AF55BC"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  <w:t xml:space="preserve"> </w:t>
      </w:r>
      <w:hyperlink r:id="rId7" w:history="1">
        <w:r w:rsidRPr="00AF55BC">
          <w:rPr>
            <w:rStyle w:val="Hyperlink"/>
            <w:rFonts w:ascii="Times New Roman" w:hAnsi="Times New Roman" w:cs="Times New Roman"/>
            <w:sz w:val="16"/>
            <w:szCs w:val="16"/>
            <w:shd w:val="clear" w:color="auto" w:fill="FFFFFF"/>
          </w:rPr>
          <w:t>jfitzsimons@tnc.org</w:t>
        </w:r>
      </w:hyperlink>
      <w:r w:rsidR="00AF55BC" w:rsidRPr="00AF55BC"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  <w:t xml:space="preserve">; </w:t>
      </w:r>
      <w:r w:rsidRPr="00AF55BC">
        <w:rPr>
          <w:rFonts w:ascii="Times New Roman" w:hAnsi="Times New Roman" w:cs="Times New Roman"/>
          <w:color w:val="3C3C3C"/>
          <w:sz w:val="16"/>
          <w:szCs w:val="16"/>
          <w:shd w:val="clear" w:color="auto" w:fill="FFFFFF"/>
        </w:rPr>
        <w:t>+61 410 567 695</w:t>
      </w:r>
    </w:p>
    <w:p w:rsidR="00941220" w:rsidRPr="00AF55BC" w:rsidRDefault="00AF55BC" w:rsidP="0076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5B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66CA6" w:rsidRPr="00AF55BC" w:rsidRDefault="00E50534" w:rsidP="0076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BC">
        <w:rPr>
          <w:rFonts w:ascii="Times New Roman" w:hAnsi="Times New Roman" w:cs="Times New Roman"/>
        </w:rPr>
        <w:t xml:space="preserve">Private land conservation in Australia </w:t>
      </w:r>
      <w:r w:rsidR="00466CA6" w:rsidRPr="00AF55BC">
        <w:rPr>
          <w:rFonts w:ascii="Times New Roman" w:hAnsi="Times New Roman" w:cs="Times New Roman"/>
        </w:rPr>
        <w:t xml:space="preserve">varies in approach from non-binding schemes such as NRM-focused </w:t>
      </w:r>
      <w:proofErr w:type="spellStart"/>
      <w:r w:rsidR="00466CA6" w:rsidRPr="00AF55BC">
        <w:rPr>
          <w:rFonts w:ascii="Times New Roman" w:hAnsi="Times New Roman" w:cs="Times New Roman"/>
        </w:rPr>
        <w:t>landcare</w:t>
      </w:r>
      <w:proofErr w:type="spellEnd"/>
      <w:r w:rsidR="00466CA6" w:rsidRPr="00AF55BC">
        <w:rPr>
          <w:rFonts w:ascii="Times New Roman" w:hAnsi="Times New Roman" w:cs="Times New Roman"/>
        </w:rPr>
        <w:t xml:space="preserve"> and wildlife habitat-focused </w:t>
      </w:r>
      <w:r w:rsidR="00BD2C49" w:rsidRPr="00AF55BC">
        <w:rPr>
          <w:rFonts w:ascii="Times New Roman" w:hAnsi="Times New Roman" w:cs="Times New Roman"/>
        </w:rPr>
        <w:t>‘</w:t>
      </w:r>
      <w:r w:rsidR="00466CA6" w:rsidRPr="00AF55BC">
        <w:rPr>
          <w:rFonts w:ascii="Times New Roman" w:hAnsi="Times New Roman" w:cs="Times New Roman"/>
        </w:rPr>
        <w:t>Land for Wildlife</w:t>
      </w:r>
      <w:r w:rsidR="00BD2C49" w:rsidRPr="00AF55BC">
        <w:rPr>
          <w:rFonts w:ascii="Times New Roman" w:hAnsi="Times New Roman" w:cs="Times New Roman"/>
        </w:rPr>
        <w:t>’</w:t>
      </w:r>
      <w:r w:rsidR="00676F93" w:rsidRPr="00AF55BC">
        <w:rPr>
          <w:rFonts w:ascii="Times New Roman" w:hAnsi="Times New Roman" w:cs="Times New Roman"/>
        </w:rPr>
        <w:t xml:space="preserve"> </w:t>
      </w:r>
      <w:proofErr w:type="gramStart"/>
      <w:r w:rsidR="00676F93" w:rsidRPr="00AF55BC">
        <w:rPr>
          <w:rFonts w:ascii="Times New Roman" w:hAnsi="Times New Roman" w:cs="Times New Roman"/>
        </w:rPr>
        <w:t>programs</w:t>
      </w:r>
      <w:r w:rsidR="00466CA6" w:rsidRPr="00AF55BC">
        <w:rPr>
          <w:rFonts w:ascii="Times New Roman" w:hAnsi="Times New Roman" w:cs="Times New Roman"/>
        </w:rPr>
        <w:t>,</w:t>
      </w:r>
      <w:proofErr w:type="gramEnd"/>
      <w:r w:rsidR="00466CA6" w:rsidRPr="00AF55BC">
        <w:rPr>
          <w:rFonts w:ascii="Times New Roman" w:hAnsi="Times New Roman" w:cs="Times New Roman"/>
        </w:rPr>
        <w:t xml:space="preserve"> through to perpetual binding conservation covenants and land purchased as private reserves by non-government organisations. </w:t>
      </w:r>
      <w:r w:rsidRPr="00AF55BC">
        <w:rPr>
          <w:rFonts w:ascii="Times New Roman" w:hAnsi="Times New Roman" w:cs="Times New Roman"/>
        </w:rPr>
        <w:t xml:space="preserve">The recent </w:t>
      </w:r>
      <w:r w:rsidR="00466CA6" w:rsidRPr="00AF55BC">
        <w:rPr>
          <w:rFonts w:ascii="Times New Roman" w:hAnsi="Times New Roman" w:cs="Times New Roman"/>
        </w:rPr>
        <w:t xml:space="preserve">acquisition of two large properties in </w:t>
      </w:r>
      <w:r w:rsidR="00171197" w:rsidRPr="00AF55BC">
        <w:rPr>
          <w:rFonts w:ascii="Times New Roman" w:hAnsi="Times New Roman" w:cs="Times New Roman"/>
        </w:rPr>
        <w:t xml:space="preserve">the southern Murray-Darling </w:t>
      </w:r>
      <w:proofErr w:type="gramStart"/>
      <w:r w:rsidR="00171197" w:rsidRPr="00AF55BC">
        <w:rPr>
          <w:rFonts w:ascii="Times New Roman" w:hAnsi="Times New Roman" w:cs="Times New Roman"/>
        </w:rPr>
        <w:t>Basin</w:t>
      </w:r>
      <w:r w:rsidR="00BD2C49" w:rsidRPr="00AF55BC">
        <w:rPr>
          <w:rFonts w:ascii="Times New Roman" w:hAnsi="Times New Roman" w:cs="Times New Roman"/>
        </w:rPr>
        <w:t>,</w:t>
      </w:r>
      <w:proofErr w:type="gramEnd"/>
      <w:r w:rsidR="00466CA6" w:rsidRPr="00AF55BC">
        <w:rPr>
          <w:rFonts w:ascii="Times New Roman" w:hAnsi="Times New Roman" w:cs="Times New Roman"/>
        </w:rPr>
        <w:t xml:space="preserve"> highlights </w:t>
      </w:r>
      <w:r w:rsidR="00147833" w:rsidRPr="00AF55BC">
        <w:rPr>
          <w:rFonts w:ascii="Times New Roman" w:hAnsi="Times New Roman" w:cs="Times New Roman"/>
        </w:rPr>
        <w:t xml:space="preserve">both </w:t>
      </w:r>
      <w:r w:rsidR="00466CA6" w:rsidRPr="00AF55BC">
        <w:rPr>
          <w:rFonts w:ascii="Times New Roman" w:hAnsi="Times New Roman" w:cs="Times New Roman"/>
        </w:rPr>
        <w:t xml:space="preserve">different </w:t>
      </w:r>
      <w:r w:rsidR="00EA34AD" w:rsidRPr="00AF55BC">
        <w:rPr>
          <w:rFonts w:ascii="Times New Roman" w:hAnsi="Times New Roman" w:cs="Times New Roman"/>
        </w:rPr>
        <w:t xml:space="preserve">approaches to ownership and governance of large, complex </w:t>
      </w:r>
      <w:r w:rsidR="00676F93" w:rsidRPr="00AF55BC">
        <w:rPr>
          <w:rFonts w:ascii="Times New Roman" w:hAnsi="Times New Roman" w:cs="Times New Roman"/>
        </w:rPr>
        <w:t xml:space="preserve">conservation </w:t>
      </w:r>
      <w:r w:rsidR="00EA34AD" w:rsidRPr="00AF55BC">
        <w:rPr>
          <w:rFonts w:ascii="Times New Roman" w:hAnsi="Times New Roman" w:cs="Times New Roman"/>
        </w:rPr>
        <w:t>properties</w:t>
      </w:r>
      <w:r w:rsidR="00147833" w:rsidRPr="00AF55BC">
        <w:rPr>
          <w:rFonts w:ascii="Times New Roman" w:hAnsi="Times New Roman" w:cs="Times New Roman"/>
        </w:rPr>
        <w:t xml:space="preserve"> and the challenges of restoring nationally-important freshwater ecosystems in the face of climate change</w:t>
      </w:r>
      <w:r w:rsidR="00676F93" w:rsidRPr="00AF55BC">
        <w:rPr>
          <w:rFonts w:ascii="Times New Roman" w:hAnsi="Times New Roman" w:cs="Times New Roman"/>
        </w:rPr>
        <w:t>.</w:t>
      </w:r>
    </w:p>
    <w:p w:rsidR="00761957" w:rsidRPr="00AF55BC" w:rsidRDefault="00761957" w:rsidP="0076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73F8" w:rsidRPr="00AF55BC" w:rsidRDefault="000C188D" w:rsidP="004173F8">
      <w:pPr>
        <w:rPr>
          <w:rFonts w:ascii="Times New Roman" w:hAnsi="Times New Roman" w:cs="Times New Roman"/>
        </w:rPr>
      </w:pPr>
      <w:r w:rsidRPr="00AF55BC">
        <w:rPr>
          <w:rFonts w:ascii="Times New Roman" w:hAnsi="Times New Roman" w:cs="Times New Roman"/>
        </w:rPr>
        <w:t xml:space="preserve">The Gayini Nimmie-Caira property is approximately 84,000 hectares of freehold land covering </w:t>
      </w:r>
      <w:r w:rsidR="008B589A" w:rsidRPr="00AF55BC">
        <w:rPr>
          <w:rFonts w:ascii="Times New Roman" w:hAnsi="Times New Roman" w:cs="Times New Roman"/>
        </w:rPr>
        <w:t xml:space="preserve">nationally-significant </w:t>
      </w:r>
      <w:r w:rsidRPr="00AF55BC">
        <w:rPr>
          <w:rFonts w:ascii="Times New Roman" w:hAnsi="Times New Roman" w:cs="Times New Roman"/>
        </w:rPr>
        <w:t>open lignum floodplain</w:t>
      </w:r>
      <w:r w:rsidR="008B589A" w:rsidRPr="00AF55BC">
        <w:rPr>
          <w:rFonts w:ascii="Times New Roman" w:hAnsi="Times New Roman" w:cs="Times New Roman"/>
        </w:rPr>
        <w:t xml:space="preserve">, River Red Gum and Black Box woodlands as well as grasslands and chenopod shrublands </w:t>
      </w:r>
      <w:r w:rsidRPr="00AF55BC">
        <w:rPr>
          <w:rFonts w:ascii="Times New Roman" w:hAnsi="Times New Roman" w:cs="Times New Roman"/>
        </w:rPr>
        <w:t>in the lower Murrumbidgee Valley, making it one of the largest single private holdings in the Riverina bioregion. The $180 million Nimmie-Caira water saving project, saw the N</w:t>
      </w:r>
      <w:r w:rsidR="00171197" w:rsidRPr="00AF55BC">
        <w:rPr>
          <w:rFonts w:ascii="Times New Roman" w:hAnsi="Times New Roman" w:cs="Times New Roman"/>
        </w:rPr>
        <w:t xml:space="preserve">ew </w:t>
      </w:r>
      <w:r w:rsidRPr="00AF55BC">
        <w:rPr>
          <w:rFonts w:ascii="Times New Roman" w:hAnsi="Times New Roman" w:cs="Times New Roman"/>
        </w:rPr>
        <w:t>S</w:t>
      </w:r>
      <w:r w:rsidR="00171197" w:rsidRPr="00AF55BC">
        <w:rPr>
          <w:rFonts w:ascii="Times New Roman" w:hAnsi="Times New Roman" w:cs="Times New Roman"/>
        </w:rPr>
        <w:t xml:space="preserve">outh </w:t>
      </w:r>
      <w:r w:rsidRPr="00AF55BC">
        <w:rPr>
          <w:rFonts w:ascii="Times New Roman" w:hAnsi="Times New Roman" w:cs="Times New Roman"/>
        </w:rPr>
        <w:t>W</w:t>
      </w:r>
      <w:r w:rsidR="00171197" w:rsidRPr="00AF55BC">
        <w:rPr>
          <w:rFonts w:ascii="Times New Roman" w:hAnsi="Times New Roman" w:cs="Times New Roman"/>
        </w:rPr>
        <w:t>ales</w:t>
      </w:r>
      <w:r w:rsidRPr="00AF55BC">
        <w:rPr>
          <w:rFonts w:ascii="Times New Roman" w:hAnsi="Times New Roman" w:cs="Times New Roman"/>
        </w:rPr>
        <w:t xml:space="preserve"> and Australian governments purchase 19 properties on the Nimmie-Caira floodplain, together with associated water rights which helped meet Sustainable Diversion Limits for the Murray-Darling Basin Plan. With the aim of delivering environmental flows and ensuring long-term sustainable land management, the NSW </w:t>
      </w:r>
      <w:r w:rsidR="00E50534" w:rsidRPr="00AF55BC">
        <w:rPr>
          <w:rFonts w:ascii="Times New Roman" w:hAnsi="Times New Roman" w:cs="Times New Roman"/>
        </w:rPr>
        <w:t xml:space="preserve">Government </w:t>
      </w:r>
      <w:r w:rsidRPr="00AF55BC">
        <w:rPr>
          <w:rFonts w:ascii="Times New Roman" w:hAnsi="Times New Roman" w:cs="Times New Roman"/>
        </w:rPr>
        <w:t xml:space="preserve">invited tenders for the future management of the property. In 2018, a consortium including the </w:t>
      </w:r>
      <w:proofErr w:type="spellStart"/>
      <w:r w:rsidRPr="00AF55BC">
        <w:rPr>
          <w:rFonts w:ascii="Times New Roman" w:hAnsi="Times New Roman" w:cs="Times New Roman"/>
        </w:rPr>
        <w:t>Nari</w:t>
      </w:r>
      <w:proofErr w:type="spellEnd"/>
      <w:r w:rsidRPr="00AF55BC">
        <w:rPr>
          <w:rFonts w:ascii="Times New Roman" w:hAnsi="Times New Roman" w:cs="Times New Roman"/>
        </w:rPr>
        <w:t xml:space="preserve"> </w:t>
      </w:r>
      <w:proofErr w:type="spellStart"/>
      <w:r w:rsidRPr="00AF55BC">
        <w:rPr>
          <w:rFonts w:ascii="Times New Roman" w:hAnsi="Times New Roman" w:cs="Times New Roman"/>
        </w:rPr>
        <w:t>Nari</w:t>
      </w:r>
      <w:proofErr w:type="spellEnd"/>
      <w:r w:rsidRPr="00AF55BC">
        <w:rPr>
          <w:rFonts w:ascii="Times New Roman" w:hAnsi="Times New Roman" w:cs="Times New Roman"/>
        </w:rPr>
        <w:t xml:space="preserve"> Tribal Council, The Nature Conservancy, </w:t>
      </w:r>
      <w:proofErr w:type="gramStart"/>
      <w:r w:rsidRPr="00AF55BC">
        <w:rPr>
          <w:rFonts w:ascii="Times New Roman" w:hAnsi="Times New Roman" w:cs="Times New Roman"/>
        </w:rPr>
        <w:t>Murray</w:t>
      </w:r>
      <w:proofErr w:type="gramEnd"/>
      <w:r w:rsidRPr="00AF55BC">
        <w:rPr>
          <w:rFonts w:ascii="Times New Roman" w:hAnsi="Times New Roman" w:cs="Times New Roman"/>
        </w:rPr>
        <w:t xml:space="preserve"> Darling Wetlands Working Group and University of NSW successfully tendered for the stewardship of </w:t>
      </w:r>
      <w:r w:rsidR="00FA2B87" w:rsidRPr="00AF55BC">
        <w:rPr>
          <w:rFonts w:ascii="Times New Roman" w:hAnsi="Times New Roman" w:cs="Times New Roman"/>
        </w:rPr>
        <w:t xml:space="preserve">Gayini </w:t>
      </w:r>
      <w:r w:rsidRPr="00AF55BC">
        <w:rPr>
          <w:rFonts w:ascii="Times New Roman" w:hAnsi="Times New Roman" w:cs="Times New Roman"/>
        </w:rPr>
        <w:t>Nimmi</w:t>
      </w:r>
      <w:r w:rsidR="00FA2B87" w:rsidRPr="00AF55BC">
        <w:rPr>
          <w:rFonts w:ascii="Times New Roman" w:hAnsi="Times New Roman" w:cs="Times New Roman"/>
        </w:rPr>
        <w:t>e</w:t>
      </w:r>
      <w:r w:rsidRPr="00AF55BC">
        <w:rPr>
          <w:rFonts w:ascii="Times New Roman" w:hAnsi="Times New Roman" w:cs="Times New Roman"/>
        </w:rPr>
        <w:t xml:space="preserve">-Caira with an integrated economic, social, cultural and ecological vision for Gayini Nimmie-Caira system. </w:t>
      </w:r>
      <w:r w:rsidR="004173F8" w:rsidRPr="00AF55BC">
        <w:rPr>
          <w:rFonts w:ascii="Times New Roman" w:eastAsia="Times New Roman" w:hAnsi="Times New Roman" w:cs="Times New Roman"/>
          <w:color w:val="212121"/>
        </w:rPr>
        <w:t>Nimmie-Caira represents a different type of private land conservation model, with government playing an important and direct initiating and facilitating role to enable a large-scale private land conservation outcome. Long-term conservation will be ensured through a legally-binding Land and Water Management Plan, easements and an exploration future Ramsar-listing.</w:t>
      </w:r>
    </w:p>
    <w:p w:rsidR="000C188D" w:rsidRPr="00AF55BC" w:rsidRDefault="008B589A" w:rsidP="000C188D">
      <w:pPr>
        <w:rPr>
          <w:rFonts w:ascii="Times New Roman" w:eastAsia="Times New Roman" w:hAnsi="Times New Roman" w:cs="Times New Roman"/>
          <w:color w:val="212121"/>
        </w:rPr>
      </w:pPr>
      <w:r w:rsidRPr="00AF55BC">
        <w:rPr>
          <w:rFonts w:ascii="Times New Roman" w:eastAsia="Times New Roman" w:hAnsi="Times New Roman" w:cs="Times New Roman"/>
          <w:color w:val="212121"/>
        </w:rPr>
        <w:t>In 2019, a joint venture initiative between The Nature Conservancy and Tiverton</w:t>
      </w:r>
      <w:r w:rsidR="00FA2B87" w:rsidRPr="00AF55BC">
        <w:rPr>
          <w:rFonts w:ascii="Times New Roman" w:eastAsia="Times New Roman" w:hAnsi="Times New Roman" w:cs="Times New Roman"/>
          <w:color w:val="212121"/>
        </w:rPr>
        <w:t>-Rothwell</w:t>
      </w:r>
      <w:r w:rsidRPr="00AF55BC">
        <w:rPr>
          <w:rFonts w:ascii="Times New Roman" w:eastAsia="Times New Roman" w:hAnsi="Times New Roman" w:cs="Times New Roman"/>
          <w:color w:val="212121"/>
        </w:rPr>
        <w:t xml:space="preserve"> </w:t>
      </w:r>
      <w:proofErr w:type="gramStart"/>
      <w:r w:rsidRPr="00AF55BC">
        <w:rPr>
          <w:rFonts w:ascii="Times New Roman" w:eastAsia="Times New Roman" w:hAnsi="Times New Roman" w:cs="Times New Roman"/>
          <w:color w:val="212121"/>
        </w:rPr>
        <w:t>Agriculture,</w:t>
      </w:r>
      <w:proofErr w:type="gramEnd"/>
      <w:r w:rsidRPr="00AF55BC">
        <w:rPr>
          <w:rFonts w:ascii="Times New Roman" w:eastAsia="Times New Roman" w:hAnsi="Times New Roman" w:cs="Times New Roman"/>
          <w:color w:val="212121"/>
        </w:rPr>
        <w:t xml:space="preserve"> saw the purchase of Juanbung and Boyong stations spanning 33,765 hectares</w:t>
      </w:r>
      <w:r w:rsidR="00D75459" w:rsidRPr="00AF55BC">
        <w:rPr>
          <w:rFonts w:ascii="Times New Roman" w:eastAsia="Times New Roman" w:hAnsi="Times New Roman" w:cs="Times New Roman"/>
          <w:color w:val="212121"/>
        </w:rPr>
        <w:t>, and associated water rights</w:t>
      </w:r>
      <w:r w:rsidR="00171197" w:rsidRPr="00AF55BC">
        <w:rPr>
          <w:rFonts w:ascii="Times New Roman" w:eastAsia="Times New Roman" w:hAnsi="Times New Roman" w:cs="Times New Roman"/>
          <w:color w:val="212121"/>
        </w:rPr>
        <w:t>,</w:t>
      </w:r>
      <w:r w:rsidR="00BD2C49" w:rsidRPr="00AF55BC">
        <w:rPr>
          <w:rFonts w:ascii="Times New Roman" w:eastAsia="Times New Roman" w:hAnsi="Times New Roman" w:cs="Times New Roman"/>
          <w:color w:val="212121"/>
        </w:rPr>
        <w:t xml:space="preserve"> for $55 million</w:t>
      </w:r>
      <w:r w:rsidRPr="00AF55BC">
        <w:rPr>
          <w:rFonts w:ascii="Times New Roman" w:eastAsia="Times New Roman" w:hAnsi="Times New Roman" w:cs="Times New Roman"/>
          <w:color w:val="212121"/>
        </w:rPr>
        <w:t xml:space="preserve">. These properties </w:t>
      </w:r>
      <w:r w:rsidR="001D0CF2" w:rsidRPr="00AF55BC">
        <w:rPr>
          <w:rFonts w:ascii="Times New Roman" w:eastAsia="Times New Roman" w:hAnsi="Times New Roman" w:cs="Times New Roman"/>
          <w:color w:val="212121"/>
        </w:rPr>
        <w:t>to the north</w:t>
      </w:r>
      <w:r w:rsidRPr="00AF55BC">
        <w:rPr>
          <w:rFonts w:ascii="Times New Roman" w:eastAsia="Times New Roman" w:hAnsi="Times New Roman" w:cs="Times New Roman"/>
          <w:color w:val="212121"/>
        </w:rPr>
        <w:t xml:space="preserve"> </w:t>
      </w:r>
      <w:r w:rsidR="00D75459" w:rsidRPr="00AF55BC">
        <w:rPr>
          <w:rFonts w:ascii="Times New Roman" w:eastAsia="Times New Roman" w:hAnsi="Times New Roman" w:cs="Times New Roman"/>
          <w:color w:val="212121"/>
        </w:rPr>
        <w:t xml:space="preserve">of </w:t>
      </w:r>
      <w:bookmarkStart w:id="0" w:name="_GoBack"/>
      <w:r w:rsidR="00FA2B87" w:rsidRPr="00AF55BC">
        <w:rPr>
          <w:rFonts w:ascii="Times New Roman" w:eastAsia="Times New Roman" w:hAnsi="Times New Roman" w:cs="Times New Roman"/>
          <w:color w:val="212121"/>
        </w:rPr>
        <w:t xml:space="preserve">Gayini </w:t>
      </w:r>
      <w:bookmarkEnd w:id="0"/>
      <w:r w:rsidR="00D75459" w:rsidRPr="00AF55BC">
        <w:rPr>
          <w:rFonts w:ascii="Times New Roman" w:eastAsia="Times New Roman" w:hAnsi="Times New Roman" w:cs="Times New Roman"/>
          <w:color w:val="212121"/>
        </w:rPr>
        <w:t>Nimmie-</w:t>
      </w:r>
      <w:proofErr w:type="gramStart"/>
      <w:r w:rsidR="00D75459" w:rsidRPr="00AF55BC">
        <w:rPr>
          <w:rFonts w:ascii="Times New Roman" w:eastAsia="Times New Roman" w:hAnsi="Times New Roman" w:cs="Times New Roman"/>
          <w:color w:val="212121"/>
        </w:rPr>
        <w:t>Caira</w:t>
      </w:r>
      <w:r w:rsidR="001D0CF2" w:rsidRPr="00AF55BC">
        <w:rPr>
          <w:rFonts w:ascii="Times New Roman" w:eastAsia="Times New Roman" w:hAnsi="Times New Roman" w:cs="Times New Roman"/>
          <w:color w:val="212121"/>
        </w:rPr>
        <w:t>,</w:t>
      </w:r>
      <w:proofErr w:type="gramEnd"/>
      <w:r w:rsidR="00D75459" w:rsidRPr="00AF55BC">
        <w:rPr>
          <w:rFonts w:ascii="Times New Roman" w:eastAsia="Times New Roman" w:hAnsi="Times New Roman" w:cs="Times New Roman"/>
          <w:color w:val="212121"/>
        </w:rPr>
        <w:t xml:space="preserve"> contain the majority of</w:t>
      </w:r>
      <w:r w:rsidR="001D0CF2" w:rsidRPr="00AF55BC">
        <w:rPr>
          <w:rFonts w:ascii="Times New Roman" w:eastAsia="Times New Roman" w:hAnsi="Times New Roman" w:cs="Times New Roman"/>
          <w:color w:val="212121"/>
        </w:rPr>
        <w:t xml:space="preserve"> the</w:t>
      </w:r>
      <w:r w:rsidR="00D75459" w:rsidRPr="00AF55BC">
        <w:rPr>
          <w:rFonts w:ascii="Times New Roman" w:eastAsia="Times New Roman" w:hAnsi="Times New Roman" w:cs="Times New Roman"/>
          <w:color w:val="212121"/>
        </w:rPr>
        <w:t xml:space="preserve"> </w:t>
      </w:r>
      <w:r w:rsidR="001D0CF2" w:rsidRPr="00AF55BC">
        <w:rPr>
          <w:rFonts w:ascii="Times New Roman" w:eastAsia="Times New Roman" w:hAnsi="Times New Roman" w:cs="Times New Roman"/>
          <w:color w:val="212121"/>
        </w:rPr>
        <w:t xml:space="preserve">Great Cumbung Swamp, </w:t>
      </w:r>
      <w:r w:rsidR="00D75459" w:rsidRPr="00AF55BC">
        <w:rPr>
          <w:rFonts w:ascii="Times New Roman" w:eastAsia="Times New Roman" w:hAnsi="Times New Roman" w:cs="Times New Roman"/>
          <w:color w:val="212121"/>
        </w:rPr>
        <w:t>one of the largest reed swamps in the Murray-Darling Basin</w:t>
      </w:r>
      <w:r w:rsidR="001D0CF2" w:rsidRPr="00AF55BC">
        <w:rPr>
          <w:rFonts w:ascii="Times New Roman" w:eastAsia="Times New Roman" w:hAnsi="Times New Roman" w:cs="Times New Roman"/>
          <w:color w:val="212121"/>
        </w:rPr>
        <w:t xml:space="preserve"> and the confluence of the Lachlan </w:t>
      </w:r>
      <w:r w:rsidR="00C56223" w:rsidRPr="00AF55BC">
        <w:rPr>
          <w:rFonts w:ascii="Times New Roman" w:eastAsia="Times New Roman" w:hAnsi="Times New Roman" w:cs="Times New Roman"/>
          <w:color w:val="212121"/>
        </w:rPr>
        <w:t xml:space="preserve">and </w:t>
      </w:r>
      <w:r w:rsidR="00C56223" w:rsidRPr="00AF55BC">
        <w:rPr>
          <w:rFonts w:ascii="Times New Roman" w:hAnsi="Times New Roman" w:cs="Times New Roman"/>
        </w:rPr>
        <w:t xml:space="preserve">Murrumbidgee </w:t>
      </w:r>
      <w:r w:rsidR="00C56223" w:rsidRPr="00AF55BC">
        <w:rPr>
          <w:rFonts w:ascii="Times New Roman" w:eastAsia="Times New Roman" w:hAnsi="Times New Roman" w:cs="Times New Roman"/>
          <w:color w:val="212121"/>
        </w:rPr>
        <w:t>r</w:t>
      </w:r>
      <w:r w:rsidR="001D0CF2" w:rsidRPr="00AF55BC">
        <w:rPr>
          <w:rFonts w:ascii="Times New Roman" w:eastAsia="Times New Roman" w:hAnsi="Times New Roman" w:cs="Times New Roman"/>
          <w:color w:val="212121"/>
        </w:rPr>
        <w:t>iver</w:t>
      </w:r>
      <w:r w:rsidR="00C56223" w:rsidRPr="00AF55BC">
        <w:rPr>
          <w:rFonts w:ascii="Times New Roman" w:eastAsia="Times New Roman" w:hAnsi="Times New Roman" w:cs="Times New Roman"/>
          <w:color w:val="212121"/>
        </w:rPr>
        <w:t>s</w:t>
      </w:r>
      <w:r w:rsidRPr="00AF55BC">
        <w:rPr>
          <w:rFonts w:ascii="Times New Roman" w:eastAsia="Times New Roman" w:hAnsi="Times New Roman" w:cs="Times New Roman"/>
          <w:color w:val="212121"/>
        </w:rPr>
        <w:t>. </w:t>
      </w:r>
      <w:r w:rsidR="001D0CF2" w:rsidRPr="00AF55BC">
        <w:rPr>
          <w:rFonts w:ascii="Times New Roman" w:eastAsia="Times New Roman" w:hAnsi="Times New Roman" w:cs="Times New Roman"/>
          <w:color w:val="212121"/>
        </w:rPr>
        <w:t>The Great Cumbung will be managed for conservation and sustainable grazing</w:t>
      </w:r>
      <w:r w:rsidR="00AF5A52" w:rsidRPr="00AF55BC">
        <w:rPr>
          <w:rFonts w:ascii="Times New Roman" w:eastAsia="Times New Roman" w:hAnsi="Times New Roman" w:cs="Times New Roman"/>
          <w:color w:val="212121"/>
        </w:rPr>
        <w:t xml:space="preserve"> with protective agreements placed on the title over time.</w:t>
      </w:r>
    </w:p>
    <w:p w:rsidR="004173F8" w:rsidRPr="00AF55BC" w:rsidRDefault="004173F8">
      <w:pPr>
        <w:rPr>
          <w:rFonts w:ascii="Times New Roman" w:hAnsi="Times New Roman" w:cs="Times New Roman"/>
          <w:sz w:val="24"/>
          <w:szCs w:val="24"/>
        </w:rPr>
      </w:pPr>
    </w:p>
    <w:sectPr w:rsidR="004173F8" w:rsidRPr="00AF55BC" w:rsidSect="00A813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FF" w:rsidRDefault="00AC6EFF" w:rsidP="00AF55BC">
      <w:pPr>
        <w:spacing w:after="0" w:line="240" w:lineRule="auto"/>
      </w:pPr>
      <w:r>
        <w:separator/>
      </w:r>
    </w:p>
  </w:endnote>
  <w:endnote w:type="continuationSeparator" w:id="0">
    <w:p w:rsidR="00AC6EFF" w:rsidRDefault="00AC6EFF" w:rsidP="00AF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FF" w:rsidRDefault="00AC6EFF" w:rsidP="00AF55BC">
      <w:pPr>
        <w:spacing w:after="0" w:line="240" w:lineRule="auto"/>
      </w:pPr>
      <w:r>
        <w:separator/>
      </w:r>
    </w:p>
  </w:footnote>
  <w:footnote w:type="continuationSeparator" w:id="0">
    <w:p w:rsidR="00AC6EFF" w:rsidRDefault="00AC6EFF" w:rsidP="00AF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BC" w:rsidRDefault="00AF55BC" w:rsidP="00AF55BC">
    <w:pPr>
      <w:spacing w:after="120"/>
      <w:jc w:val="center"/>
      <w:rPr>
        <w:rFonts w:cs="Calibri Light"/>
        <w:sz w:val="16"/>
        <w:szCs w:val="16"/>
        <w:lang w:val="en-US"/>
      </w:rPr>
    </w:pPr>
    <w:r>
      <w:rPr>
        <w:rFonts w:cs="Calibri Light"/>
        <w:b/>
        <w:sz w:val="16"/>
        <w:szCs w:val="16"/>
      </w:rPr>
      <w:t>CRSD 5</w:t>
    </w:r>
    <w:r>
      <w:rPr>
        <w:rFonts w:cs="Calibri Light"/>
        <w:b/>
        <w:sz w:val="16"/>
        <w:szCs w:val="16"/>
        <w:vertAlign w:val="superscript"/>
      </w:rPr>
      <w:t>th</w:t>
    </w:r>
    <w:r>
      <w:rPr>
        <w:rFonts w:cs="Calibri Light"/>
        <w:b/>
        <w:sz w:val="16"/>
        <w:szCs w:val="16"/>
      </w:rPr>
      <w:t xml:space="preserve"> International Symposium on Corporate Responsibility and Sustainable Development</w:t>
    </w:r>
  </w:p>
  <w:p w:rsidR="00AF55BC" w:rsidRDefault="00AF55BC" w:rsidP="00AF55BC">
    <w:pPr>
      <w:spacing w:after="120"/>
      <w:jc w:val="center"/>
      <w:rPr>
        <w:rFonts w:eastAsia="Times New Roman" w:cs="Calibri"/>
        <w:color w:val="222222"/>
        <w:lang w:val="en-GB" w:eastAsia="en-GB"/>
      </w:rPr>
    </w:pPr>
    <w:r>
      <w:rPr>
        <w:rFonts w:cs="Calibri"/>
        <w:i/>
      </w:rPr>
      <w:t>The coming paradigm: natural resource governance without government?</w:t>
    </w:r>
  </w:p>
  <w:p w:rsidR="00AF55BC" w:rsidRDefault="00AF55BC" w:rsidP="00AF55BC">
    <w:pPr>
      <w:pStyle w:val="font7"/>
      <w:spacing w:before="0" w:beforeAutospacing="0" w:after="0" w:afterAutospacing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In collaboration with</w:t>
    </w:r>
  </w:p>
  <w:p w:rsidR="00AF55BC" w:rsidRDefault="00AF55BC" w:rsidP="00AF55BC">
    <w:pPr>
      <w:pStyle w:val="font7"/>
      <w:spacing w:before="0" w:beforeAutospacing="0" w:after="0" w:afterAutospacing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color w:val="000000"/>
        <w:sz w:val="16"/>
        <w:szCs w:val="16"/>
      </w:rPr>
      <w:t>Australian Centre for Agriculture and Law &amp; School of Law</w:t>
    </w:r>
  </w:p>
  <w:p w:rsidR="00AF55BC" w:rsidRDefault="00AF55BC" w:rsidP="00AF55BC">
    <w:pPr>
      <w:pStyle w:val="font7"/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University of New England, </w:t>
    </w:r>
    <w:proofErr w:type="spellStart"/>
    <w:r>
      <w:rPr>
        <w:rFonts w:ascii="Calibri" w:hAnsi="Calibri" w:cs="Calibri"/>
        <w:i/>
        <w:sz w:val="16"/>
        <w:szCs w:val="16"/>
      </w:rPr>
      <w:t>Armidale</w:t>
    </w:r>
    <w:proofErr w:type="spellEnd"/>
    <w:r>
      <w:rPr>
        <w:rFonts w:ascii="Calibri" w:hAnsi="Calibri" w:cs="Calibri"/>
        <w:i/>
        <w:sz w:val="16"/>
        <w:szCs w:val="16"/>
      </w:rPr>
      <w:t>, New South Wales, Australia</w:t>
    </w:r>
  </w:p>
  <w:p w:rsidR="00AF55BC" w:rsidRDefault="00AF55BC" w:rsidP="00AF55BC">
    <w:pPr>
      <w:jc w:val="center"/>
      <w:rPr>
        <w:rFonts w:ascii="Calibri" w:eastAsia="Calibri" w:hAnsi="Calibri" w:cs="Calibri"/>
        <w:b/>
        <w:sz w:val="16"/>
        <w:szCs w:val="16"/>
      </w:rPr>
    </w:pPr>
    <w:hyperlink r:id="rId1" w:history="1">
      <w:r>
        <w:rPr>
          <w:rStyle w:val="Hyperlink"/>
          <w:rFonts w:eastAsia="Calibri" w:cs="Calibri"/>
          <w:b/>
          <w:sz w:val="16"/>
          <w:szCs w:val="16"/>
        </w:rPr>
        <w:t>www</w:t>
      </w:r>
      <w:r>
        <w:rPr>
          <w:rStyle w:val="Hyperlink"/>
          <w:rFonts w:cs="Calibri"/>
          <w:b/>
          <w:sz w:val="16"/>
          <w:szCs w:val="16"/>
        </w:rPr>
        <w:t>.cr-sd.org/symposium</w:t>
      </w:r>
    </w:hyperlink>
  </w:p>
  <w:p w:rsidR="00AF55BC" w:rsidRPr="00AF55BC" w:rsidRDefault="00AF55BC" w:rsidP="00AF55BC">
    <w:pPr>
      <w:jc w:val="center"/>
      <w:rPr>
        <w:rFonts w:eastAsia="SimSun" w:cs="Calibri"/>
        <w:sz w:val="16"/>
        <w:szCs w:val="16"/>
      </w:rPr>
    </w:pPr>
    <w:r>
      <w:rPr>
        <w:rFonts w:cs="Calibri"/>
        <w:sz w:val="16"/>
        <w:szCs w:val="16"/>
      </w:rPr>
      <w:t>15-17 April,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8EF"/>
    <w:multiLevelType w:val="hybridMultilevel"/>
    <w:tmpl w:val="99F25A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67D9"/>
    <w:multiLevelType w:val="hybridMultilevel"/>
    <w:tmpl w:val="99F25A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33A2F"/>
    <w:multiLevelType w:val="hybridMultilevel"/>
    <w:tmpl w:val="E200A6BC"/>
    <w:lvl w:ilvl="0" w:tplc="A45E4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88D"/>
    <w:rsid w:val="000A10C4"/>
    <w:rsid w:val="000C188D"/>
    <w:rsid w:val="000D7180"/>
    <w:rsid w:val="0010672D"/>
    <w:rsid w:val="00147833"/>
    <w:rsid w:val="00171197"/>
    <w:rsid w:val="001D0CF2"/>
    <w:rsid w:val="00206546"/>
    <w:rsid w:val="00241A3F"/>
    <w:rsid w:val="003628C2"/>
    <w:rsid w:val="003E4227"/>
    <w:rsid w:val="004173F8"/>
    <w:rsid w:val="00466CA6"/>
    <w:rsid w:val="004C6636"/>
    <w:rsid w:val="004E4A26"/>
    <w:rsid w:val="00506758"/>
    <w:rsid w:val="005A0EBB"/>
    <w:rsid w:val="00676F93"/>
    <w:rsid w:val="00747BC1"/>
    <w:rsid w:val="00761957"/>
    <w:rsid w:val="008B589A"/>
    <w:rsid w:val="00941220"/>
    <w:rsid w:val="00A8137A"/>
    <w:rsid w:val="00AC6EFF"/>
    <w:rsid w:val="00AF55BC"/>
    <w:rsid w:val="00AF5A52"/>
    <w:rsid w:val="00BD2C49"/>
    <w:rsid w:val="00C56223"/>
    <w:rsid w:val="00D75459"/>
    <w:rsid w:val="00DA0C8D"/>
    <w:rsid w:val="00E02515"/>
    <w:rsid w:val="00E50534"/>
    <w:rsid w:val="00EA34AD"/>
    <w:rsid w:val="00EC190F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88D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88D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C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C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5BC"/>
  </w:style>
  <w:style w:type="paragraph" w:styleId="Footer">
    <w:name w:val="footer"/>
    <w:basedOn w:val="Normal"/>
    <w:link w:val="FooterChar"/>
    <w:uiPriority w:val="99"/>
    <w:semiHidden/>
    <w:unhideWhenUsed/>
    <w:rsid w:val="00AF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5BC"/>
  </w:style>
  <w:style w:type="paragraph" w:customStyle="1" w:styleId="font7">
    <w:name w:val="font_7"/>
    <w:basedOn w:val="Normal"/>
    <w:rsid w:val="00AF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fitzsimons@t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-sd.org/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Fitzsimons</dc:creator>
  <cp:lastModifiedBy>lez</cp:lastModifiedBy>
  <cp:revision>2</cp:revision>
  <dcterms:created xsi:type="dcterms:W3CDTF">2019-03-27T10:20:00Z</dcterms:created>
  <dcterms:modified xsi:type="dcterms:W3CDTF">2019-03-27T10:20:00Z</dcterms:modified>
</cp:coreProperties>
</file>